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IV.2018.142 vom 10. Juli 2018</w:t>
      </w:r>
    </w:p>
    <w:p>
      <w:r>
        <w:t>Bs Sozialversicherungsgericht, 2018-07-10, DE</w:t>
      </w:r>
    </w:p>
    <w:p>
      <w:r>
        <w:rPr>
          <w:b/>
        </w:rPr>
        <w:t xml:space="preserve">Quelle: </w:t>
      </w:r>
      <w:r>
        <w:t>https://mcp.opencaselaw.ch/entscheid/bs_sozialversicherungsgericht_IV.2018.142</w:t>
      </w:r>
    </w:p>
    <w:p>
      <w:r>
        <w:t>FR: BS_SOZIALVERSICHERUNGSGERICHT IV.2018.142 du 10 juillet 2018</w:t>
      </w:r>
    </w:p>
    <w:p>
      <w:r>
        <w:t>IT: BS_SOZIALVERSICHERUNGSGERICHT IV.2018.142 del 10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Dezember 2018</w:t>
      </w:r>
    </w:p>
    <w:p>
      <w:r>
        <w:t>Mitwirkende</w:t>
      </w:r>
    </w:p>
    <w:p>
      <w:r>
        <w:t>Dr. G. Thomi (Vorsitz), Dr. med. C. Karli, MLaw T. Conti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IV.2018.142</w:t>
      </w:r>
    </w:p>
    <w:p>
      <w:r>
        <w:t>Verfügung vom 10. Juli 2018</w:t>
      </w:r>
    </w:p>
    <w:p>
      <w:r>
        <w:t>Gutachten ist beweistauglich; zur Ermittlung des Valideneinkommens findet Art. 26 Abs. 2 IVV keine Anwendung, es ist aber die LSE TA1, Sektor Dienstleistungen, Wirtschaftsabteilung Informatik + Kommunikation, Kompetenzniveau 2, beizuziehen; Zusprache einer halben Invalidenrente.</w:t>
      </w:r>
    </w:p>
    <w:p>
      <w:r>
        <w:t>Der Präsident                                                   Die Gerichtsschreiberin</w:t>
      </w:r>
    </w:p>
    <w:p>
      <w:r>
        <w:t>Dr. G. Thomi                                                    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