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 vom 1. Dezember 2017</w:t>
      </w:r>
    </w:p>
    <w:p>
      <w:r>
        <w:t>Bs Sozialversicherungsgericht, 2017-12-01, DE</w:t>
      </w:r>
    </w:p>
    <w:p>
      <w:r>
        <w:rPr>
          <w:b/>
        </w:rPr>
        <w:t xml:space="preserve">Quelle: </w:t>
      </w:r>
      <w:r>
        <w:t>https://mcp.opencaselaw.ch/entscheid/bs_sozialversicherungsgericht_IV.2018.14</w:t>
      </w:r>
    </w:p>
    <w:p>
      <w:r>
        <w:t>FR: BS_SOZIALVERSICHERUNGSGERICHT IV.2018.14 du 1 décembre 2017</w:t>
      </w:r>
    </w:p>
    <w:p>
      <w:r>
        <w:t>IT: BS_SOZIALVERSICHERUNGSGERICHT IV.2018.14 del 1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2018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IV.2018.14</w:t>
      </w:r>
    </w:p>
    <w:p>
      <w:r>
        <w:t>Verfügung vom 1. Dezember 2017</w:t>
      </w:r>
    </w:p>
    <w:p>
      <w:r>
        <w:t>Beweiskraft von versicherungsinternen ärztlichen Berichten; vorliegend gegeben.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