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IV.2018.13 vom 7. Dezember 2017</w:t>
      </w:r>
    </w:p>
    <w:p>
      <w:r>
        <w:t>Bs Sozialversicherungsgericht, 2017-12-07, DE</w:t>
      </w:r>
    </w:p>
    <w:p>
      <w:r>
        <w:rPr>
          <w:b/>
        </w:rPr>
        <w:t xml:space="preserve">Quelle: </w:t>
      </w:r>
      <w:r>
        <w:t>https://mcp.opencaselaw.ch/entscheid/bs_sozialversicherungsgericht_IV.2018.13</w:t>
      </w:r>
    </w:p>
    <w:p>
      <w:r>
        <w:t>FR: BS_SOZIALVERSICHERUNGSGERICHT IV.2018.13 du 7 décembre 2017</w:t>
      </w:r>
    </w:p>
    <w:p>
      <w:r>
        <w:t>IT: BS_SOZIALVERSICHERUNGSGERICHT IV.2018.13 del 7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Juni 2018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IV.2018.13</w:t>
      </w:r>
    </w:p>
    <w:p>
      <w:r>
        <w:t>Verfügung vom 7. Dezember 2017</w:t>
      </w:r>
    </w:p>
    <w:p>
      <w:r>
        <w:t>Gestützt auf die Berichte der behandelnden Ärzte ist eine Veränderung des Gesundheitszustandes nicht ausgewiesen, es liegt kein Revisionsgrund vor; Beschwerde wird abgewiesen.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