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IV.2018.129 vom 21. Januar 2019</w:t>
      </w:r>
    </w:p>
    <w:p>
      <w:r>
        <w:t>Bs Sozialversicherungsgericht, 2019-01-21, DE</w:t>
      </w:r>
    </w:p>
    <w:p>
      <w:r>
        <w:rPr>
          <w:b/>
        </w:rPr>
        <w:t xml:space="preserve">Quelle: </w:t>
      </w:r>
      <w:r>
        <w:t>https://mcp.opencaselaw.ch/entscheid/bs_sozialversicherungsgericht_IV.2018.129</w:t>
      </w:r>
    </w:p>
    <w:p>
      <w:r>
        <w:t>FR: BS_SOZIALVERSICHERUNGSGERICHT IV.2018.129 du 21 janvier 2019</w:t>
      </w:r>
    </w:p>
    <w:p>
      <w:r>
        <w:t>IT: BS_SOZIALVERSICHERUNGSGERICHT IV.2018.129 del 21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IV.2018.129</w:t>
      </w:r>
    </w:p>
    <w:p>
      <w:r>
        <w:t>Verfügung 16. Juli 2018</w:t>
      </w:r>
    </w:p>
    <w:p>
      <w:r>
        <w:t>Gemischte Methode und Leidensabzug im erwerblichen Bereich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