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IV.2018.118 vom 25. Mai 2018</w:t>
      </w:r>
    </w:p>
    <w:p>
      <w:r>
        <w:t>Bs Sozialversicherungsgericht, 2018-05-25, DE</w:t>
      </w:r>
    </w:p>
    <w:p>
      <w:r>
        <w:rPr>
          <w:b/>
        </w:rPr>
        <w:t xml:space="preserve">Quelle: </w:t>
      </w:r>
      <w:r>
        <w:t>https://mcp.opencaselaw.ch/entscheid/bs_sozialversicherungsgericht_IV.2018.118</w:t>
      </w:r>
    </w:p>
    <w:p>
      <w:r>
        <w:t>FR: BS_SOZIALVERSICHERUNGSGERICHT IV.2018.118 du 25 mai 2018</w:t>
      </w:r>
    </w:p>
    <w:p>
      <w:r>
        <w:t>IT: BS_SOZIALVERSICHERUNGSGERICHT IV.2018.118 del 25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Juni 2019</w:t>
      </w:r>
    </w:p>
    <w:p>
      <w:r>
        <w:t>Mitwirkende</w:t>
      </w:r>
    </w:p>
    <w:p>
      <w:r>
        <w:t>Dr. G. Thomi (Vorsitz), Dr. med. W. Rühl, C. Müller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IV.2018.118</w:t>
      </w:r>
    </w:p>
    <w:p>
      <w:r>
        <w:t>Verfügung vom 25. Mai 2018</w:t>
      </w:r>
    </w:p>
    <w:p>
      <w:r>
        <w:t>Statusfrage, keine Anwendung der gemischten Methode</w:t>
      </w:r>
    </w:p>
    <w:p>
      <w:r>
        <w:t>Eine versicherte Person hat Anspruch auf eine ganze Invalidenrente, wenn sie zu mindestens 70%, auf eine Dreiviertelsrente, wenn sie zu mindestens 60%, auf eine halbe Rente, wenn sie zu mindestens 50% und auf eine Viertelsrente, wenn sie zu mindestens 40% invalid ist (Art. 28 Abs. 2 IVG).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Thomilic. iur.H.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