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IV.2017.94 vom 24. April 2018</w:t>
      </w:r>
    </w:p>
    <w:p>
      <w:r>
        <w:t>Bs Sozialversicherungsgericht, 2018-04-24, DE</w:t>
      </w:r>
    </w:p>
    <w:p>
      <w:r>
        <w:rPr>
          <w:b/>
        </w:rPr>
        <w:t xml:space="preserve">Quelle: </w:t>
      </w:r>
      <w:r>
        <w:t>https://mcp.opencaselaw.ch/entscheid/bs_sozialversicherungsgericht_IV.2017.94</w:t>
      </w:r>
    </w:p>
    <w:p>
      <w:r>
        <w:t>FR: BS_SOZIALVERSICHERUNGSGERICHT IV.2017.94 du 24 avril 2018</w:t>
      </w:r>
    </w:p>
    <w:p>
      <w:r>
        <w:t>IT: BS_SOZIALVERSICHERUNGSGERICHT IV.2017.94 del 24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April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IV.2017.94</w:t>
      </w:r>
    </w:p>
    <w:p>
      <w:r>
        <w:t>Verfügungen vom 28. März 2017</w:t>
      </w:r>
    </w:p>
    <w:p>
      <w:r>
        <w:t>Spezialbegutachtung zur Prüfung des Anspruchs auf verschiedene Hilfsmittel und einen Wohnungsumbau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