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IV.2017.247 vom 17. November 2017</w:t>
      </w:r>
    </w:p>
    <w:p>
      <w:r>
        <w:t>Bs Sozialversicherungsgericht, 2017-11-17, DE</w:t>
      </w:r>
    </w:p>
    <w:p>
      <w:r>
        <w:rPr>
          <w:b/>
        </w:rPr>
        <w:t xml:space="preserve">Quelle: </w:t>
      </w:r>
      <w:r>
        <w:t>https://mcp.opencaselaw.ch/entscheid/bs_sozialversicherungsgericht_IV.2017.247</w:t>
      </w:r>
    </w:p>
    <w:p>
      <w:r>
        <w:t>FR: BS_SOZIALVERSICHERUNGSGERICHT IV.2017.247 du 17 novembre 2017</w:t>
      </w:r>
    </w:p>
    <w:p>
      <w:r>
        <w:t>IT: BS_SOZIALVERSICHERUNGSGERICHT IV.2017.247 del 17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April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IV.2017.247</w:t>
      </w:r>
    </w:p>
    <w:p>
      <w:r>
        <w:t>Verfügung vom 17. November 2017</w:t>
      </w:r>
    </w:p>
    <w:p>
      <w:r>
        <w:t>Rückforderung einer Kinderrente unrechtmässig; Studiengangwechsel führt nicht zum Unterbruch der Ausbildung.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