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IV.2017.219 vom 16. Oktober 2017</w:t>
      </w:r>
    </w:p>
    <w:p>
      <w:r>
        <w:t>Bs Sozialversicherungsgericht, 2017-10-16, DE</w:t>
      </w:r>
    </w:p>
    <w:p>
      <w:r>
        <w:rPr>
          <w:b/>
        </w:rPr>
        <w:t xml:space="preserve">Quelle: </w:t>
      </w:r>
      <w:r>
        <w:t>https://mcp.opencaselaw.ch/entscheid/bs_sozialversicherungsgericht_IV.2017.219</w:t>
      </w:r>
    </w:p>
    <w:p>
      <w:r>
        <w:t>FR: BS_SOZIALVERSICHERUNGSGERICHT IV.2017.219 du 16 octobre 2017</w:t>
      </w:r>
    </w:p>
    <w:p>
      <w:r>
        <w:t>IT: BS_SOZIALVERSICHERUNGSGERICHT IV.2017.219 del 16 ottobre 2017</w:t>
      </w:r>
    </w:p>
    <w:p>
      <w:pPr>
        <w:pStyle w:val="Heading2"/>
      </w:pPr>
      <w:r>
        <w:t>Volltext</w:t>
      </w:r>
    </w:p>
    <w:p>
      <w:r>
        <w:t>Sozialversicherungsgericht</w:t>
      </w:r>
    </w:p>
    <w:p>
      <w:r>
        <w:t>des Kantons Basel-Stadt</w:t>
      </w:r>
    </w:p>
    <w:p>
      <w:r>
        <w:t>URTEIL</w:t>
      </w:r>
    </w:p>
    <w:p>
      <w:r>
        <w:t>vom26. Februar 2018</w:t>
      </w:r>
    </w:p>
    <w:p>
      <w:r>
        <w:t>Mitwirkende</w:t>
      </w:r>
    </w:p>
    <w:p>
      <w:r>
        <w:t>Dr. G. Thomi (Vorsitz), P. Kaderli, lic. iur. R. Ley</w:t>
      </w:r>
    </w:p>
    <w:p>
      <w:r>
        <w:t>und Gerichtsschreiberin Dr. B. Gruber</w:t>
      </w:r>
    </w:p>
    <w:p>
      <w:r>
        <w:t>Parteien</w:t>
      </w:r>
    </w:p>
    <w:p>
      <w:r>
        <w:t>A____</w:t>
      </w:r>
    </w:p>
    <w:p>
      <w:r>
        <w:t>[...]</w:t>
      </w:r>
    </w:p>
    <w:p>
      <w:r>
        <w:t>vertreten durch Dr. B____, [...]</w:t>
      </w:r>
    </w:p>
    <w:p>
      <w:r>
        <w:t>Beschwerdeführer</w:t>
      </w:r>
    </w:p>
    <w:p>
      <w:r>
        <w:t>IV-Stelle Basel-Stadt</w:t>
      </w:r>
    </w:p>
    <w:p>
      <w:r>
        <w:t>Rechtsdienst, Lange Gasse 7, Postfach, 4002 Basel</w:t>
      </w:r>
    </w:p>
    <w:p>
      <w:r>
        <w:t>Beschwerdegegnerin</w:t>
      </w:r>
    </w:p>
    <w:p>
      <w:r>
        <w:t>Gegenstand</w:t>
      </w:r>
    </w:p>
    <w:p>
      <w:r>
        <w:t>IV.2017.219</w:t>
      </w:r>
    </w:p>
    <w:p>
      <w:r>
        <w:t>Verfügung vom 16. Oktober 2017</w:t>
      </w:r>
    </w:p>
    <w:p>
      <w:r>
        <w:t>Beweiswert versicherungsinterner Arztbericht</w:t>
      </w:r>
    </w:p>
    <w:p>
      <w:r>
        <w:t>2.5.Reinen Aktenbeurteilungen kommt Beweiswert zu, sofern keine Zweifel an deren Zuverlässigkeit und Schlüssigkeit bestehen. Ein medizinischer Aktenbericht ist zulässig, wenn die Akten ein vollständiges Bild über Anamnese, Verlauf und gegenwärtigen Status ergeben und diese Daten unbestritten sind. Der Untersuchungsbefund muss lückenlos vorliegen, damit der Experte im Stande ist, sich auf Grund der vorhandenen Unterlagen ein gesamthaft lückenloses Bild zu verschaffen (Urteil des Bundesgerichts vom 2. April 2009, 8C_826/2008, E. 5.2).</w:t>
      </w:r>
    </w:p>
    <w:p>
      <w:r>
        <w:t>Der Präsident                                                            Die Gerichtsschreiberin</w:t>
      </w:r>
    </w:p>
    <w:p>
      <w:r>
        <w:t>Dr. G. ThomiDr. B. Gruber</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