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IV.2017.201 vom 31. August 2017</w:t>
      </w:r>
    </w:p>
    <w:p>
      <w:r>
        <w:t>Bs Sozialversicherungsgericht, 2017-08-31, DE</w:t>
      </w:r>
    </w:p>
    <w:p>
      <w:r>
        <w:rPr>
          <w:b/>
        </w:rPr>
        <w:t xml:space="preserve">Quelle: </w:t>
      </w:r>
      <w:r>
        <w:t>https://mcp.opencaselaw.ch/entscheid/bs_sozialversicherungsgericht_IV.2017.201</w:t>
      </w:r>
    </w:p>
    <w:p>
      <w:r>
        <w:t>FR: BS_SOZIALVERSICHERUNGSGERICHT IV.2017.201 du 31 août 2017</w:t>
      </w:r>
    </w:p>
    <w:p>
      <w:r>
        <w:t>IT: BS_SOZIALVERSICHERUNGSGERICHT IV.2017.201 del 31 agosto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März 2018</w:t>
      </w:r>
    </w:p>
    <w:p>
      <w:r>
        <w:t>Mitwirkende</w:t>
      </w:r>
    </w:p>
    <w:p>
      <w:r>
        <w:t>Dr. G. Thomi (Vorsitz), lic. iur. R. Ley, Dr. med. C. Karli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IV.2017.201</w:t>
      </w:r>
    </w:p>
    <w:p>
      <w:r>
        <w:t>Verfügung vom 31. August 2017</w:t>
      </w:r>
    </w:p>
    <w:p>
      <w:r>
        <w:t>Kein invalidenversicherungsrechtlich relevanter Gesundheitsschaden vorhanden; Abgrenzung zwischen Invalidenversicherung und Arbeitslosenversicherung.</w:t>
      </w:r>
    </w:p>
    <w:p>
      <w:r>
        <w:t>Der Präsident                                                   Die Gerichtsschreiberin</w:t>
      </w:r>
    </w:p>
    <w:p>
      <w:r>
        <w:t>Dr. G. ThomiMLaw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