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IV.2017.193 vom 22. Mai 2018</w:t>
      </w:r>
    </w:p>
    <w:p>
      <w:r>
        <w:t>Bs Sozialversicherungsgericht, 2018-05-22, DE</w:t>
      </w:r>
    </w:p>
    <w:p>
      <w:r>
        <w:rPr>
          <w:b/>
        </w:rPr>
        <w:t xml:space="preserve">Quelle: </w:t>
      </w:r>
      <w:r>
        <w:t>https://mcp.opencaselaw.ch/entscheid/bs_sozialversicherungsgericht_IV.2017.193</w:t>
      </w:r>
    </w:p>
    <w:p>
      <w:r>
        <w:t>FR: BS_SOZIALVERSICHERUNGSGERICHT IV.2017.193 du 22 mai 2018</w:t>
      </w:r>
    </w:p>
    <w:p>
      <w:r>
        <w:t>IT: BS_SOZIALVERSICHERUNGSGERICHT IV.2017.193 del 22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Mai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IV.2017.193</w:t>
      </w:r>
    </w:p>
    <w:p>
      <w:r>
        <w:t>Verfügung vom 31. August 2017</w:t>
      </w:r>
    </w:p>
    <w:p>
      <w:r>
        <w:t>Renteneinstellung zufolge Nichteinhaltens einer Schadenminderungsauflage: Massgeblich für die richterliche Beurteilung ist der Zeitpunkt des Verfügungserlasses.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