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IV.2017.185 vom 18. August 2017</w:t>
      </w:r>
    </w:p>
    <w:p>
      <w:r>
        <w:t>Bs Sozialversicherungsgericht, 2017-08-18, DE</w:t>
      </w:r>
    </w:p>
    <w:p>
      <w:r>
        <w:rPr>
          <w:b/>
        </w:rPr>
        <w:t xml:space="preserve">Quelle: </w:t>
      </w:r>
      <w:r>
        <w:t>https://mcp.opencaselaw.ch/entscheid/bs_sozialversicherungsgericht_IV.2017.185</w:t>
      </w:r>
    </w:p>
    <w:p>
      <w:r>
        <w:t>FR: BS_SOZIALVERSICHERUNGSGERICHT IV.2017.185 du 18 août 2017</w:t>
      </w:r>
    </w:p>
    <w:p>
      <w:r>
        <w:t>IT: BS_SOZIALVERSICHERUNGSGERICHT IV.2017.185 del 18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März 2018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IV.2017.185</w:t>
      </w:r>
    </w:p>
    <w:p>
      <w:r>
        <w:t>Verfügung vom 18. August 2017</w:t>
      </w:r>
    </w:p>
    <w:p>
      <w:r>
        <w:t>Assistenzbeitrag, tatsächlicher Hilfebedarf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