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IV.2017.168 vom 18. Juli 2017</w:t>
      </w:r>
    </w:p>
    <w:p>
      <w:r>
        <w:t>Bs Sozialversicherungsgericht, 2017-07-18, DE</w:t>
      </w:r>
    </w:p>
    <w:p>
      <w:r>
        <w:rPr>
          <w:b/>
        </w:rPr>
        <w:t xml:space="preserve">Quelle: </w:t>
      </w:r>
      <w:r>
        <w:t>https://mcp.opencaselaw.ch/entscheid/bs_sozialversicherungsgericht_IV.2017.168</w:t>
      </w:r>
    </w:p>
    <w:p>
      <w:r>
        <w:t>FR: BS_SOZIALVERSICHERUNGSGERICHT IV.2017.168 du 18 juillet 2017</w:t>
      </w:r>
    </w:p>
    <w:p>
      <w:r>
        <w:t>IT: BS_SOZIALVERSICHERUNGSGERICHT IV.2017.168 del 18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April 2018</w:t>
      </w:r>
    </w:p>
    <w:p>
      <w:r>
        <w:t>Mitwirkende</w:t>
      </w:r>
    </w:p>
    <w:p>
      <w:r>
        <w:t>Dr. A. Pfleiderer (Vorsitz), lic. iur. A. Lesmann-Schaub, MLaw M. Kreis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IV.2017.168</w:t>
      </w:r>
    </w:p>
    <w:p>
      <w:r>
        <w:t>Verfügung vom 18. Juli 2017</w:t>
      </w:r>
    </w:p>
    <w:p>
      <w:r>
        <w:t>Revision einer Invalidenrente; vom Gutachten abweichender RAD-Bericht</w:t>
      </w:r>
    </w:p>
    <w:p>
      <w:r>
        <w:t>Bei der Ermittlung des Valideneinkommens wird in der Regel am zuletzt erzielten, nötigenfalls der Teuerung und der realen Einkommensentwicklung angepassten Verdienst angeknüpft (BGE 135 V 297, 300 E. 5.1 und BGE 134 V 322, 325 E. 4.1). Für die Berechnung des Invalideneinkommens ist gemäss der bundesgerichtlichen Rechtsprechung insbesondere dann auf den Monatslohn der Tabelle TA1, Zeile Total Privater Sektor abzustellen, wenn für eine versicherte Person in verschiedenen Bereichen eine ihrem Leiden angepasste Tätigkeit möglich ist (in BGE 133 V 545 nicht publizierte E. 5.1 und 5.2 des Urteils 9C_237/2007 vom 24. August 2007, vgl. auch Urteil 9C_811/2013 vom 6. Februar 2014 E. 5).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