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IV.2017.133 vom 22. Mai 2017</w:t>
      </w:r>
    </w:p>
    <w:p>
      <w:r>
        <w:t>Bs Sozialversicherungsgericht, 2017-05-22, DE</w:t>
      </w:r>
    </w:p>
    <w:p>
      <w:r>
        <w:rPr>
          <w:b/>
        </w:rPr>
        <w:t xml:space="preserve">Quelle: </w:t>
      </w:r>
      <w:r>
        <w:t>https://mcp.opencaselaw.ch/entscheid/bs_sozialversicherungsgericht_IV.2017.133</w:t>
      </w:r>
    </w:p>
    <w:p>
      <w:r>
        <w:t>FR: BS_SOZIALVERSICHERUNGSGERICHT IV.2017.133 du 22 mai 2017</w:t>
      </w:r>
    </w:p>
    <w:p>
      <w:r>
        <w:t>IT: BS_SOZIALVERSICHERUNGSGERICHT IV.2017.133 del 22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2017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IV.2017.133</w:t>
      </w:r>
    </w:p>
    <w:p>
      <w:r>
        <w:t>Verfügung vom 22. Mai 2017</w:t>
      </w:r>
    </w:p>
    <w:p>
      <w:r>
        <w:t>Verwertbarkeit der Restarbeitsfähigkeit auf dem ausgeglichenen Arbeitsmarkt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