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IV.2017.112 vom 3. Mai 2017</w:t>
      </w:r>
    </w:p>
    <w:p>
      <w:r>
        <w:t>Bs Sozialversicherungsgericht, 2017-05-03, DE</w:t>
      </w:r>
    </w:p>
    <w:p>
      <w:r>
        <w:rPr>
          <w:b/>
        </w:rPr>
        <w:t xml:space="preserve">Quelle: </w:t>
      </w:r>
      <w:r>
        <w:t>https://mcp.opencaselaw.ch/entscheid/bs_sozialversicherungsgericht_IV.2017.112</w:t>
      </w:r>
    </w:p>
    <w:p>
      <w:r>
        <w:t>FR: BS_SOZIALVERSICHERUNGSGERICHT IV.2017.112 du 3 mai 2017</w:t>
      </w:r>
    </w:p>
    <w:p>
      <w:r>
        <w:t>IT: BS_SOZIALVERSICHERUNGSGERICHT IV.2017.112 del 3 maggio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Januar 2018</w:t>
      </w:r>
    </w:p>
    <w:p>
      <w:r>
        <w:t>Mitwirkende</w:t>
      </w:r>
    </w:p>
    <w:p>
      <w:r>
        <w:t>Dr. A. Pfleiderer (Vorsitz), lic. iur. M. Prack Hoenen, C. Müller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IV.2017.112</w:t>
      </w:r>
    </w:p>
    <w:p>
      <w:r>
        <w:t>Verfügung vom 3. Mai 2017</w:t>
      </w:r>
    </w:p>
    <w:p>
      <w:r>
        <w:t>Invalidenrente; bisheriger Lohn als Valideneinkommen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