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FZ.2019.7 vom 15. November 2019</w:t>
      </w:r>
    </w:p>
    <w:p>
      <w:r>
        <w:t>Bs Sozialversicherungsgericht, 2019-11-15, DE</w:t>
      </w:r>
    </w:p>
    <w:p>
      <w:r>
        <w:rPr>
          <w:b/>
        </w:rPr>
        <w:t xml:space="preserve">Quelle: </w:t>
      </w:r>
      <w:r>
        <w:t>https://mcp.opencaselaw.ch/entscheid/bs_sozialversicherungsgericht_FZ.2019.7</w:t>
      </w:r>
    </w:p>
    <w:p>
      <w:r>
        <w:t>FR: BS_SOZIALVERSICHERUNGSGERICHT FZ.2019.7 du 15 novembre 2019</w:t>
      </w:r>
    </w:p>
    <w:p>
      <w:r>
        <w:t>IT: BS_SOZIALVERSICHERUNGSGERICHT FZ.2019.7 del 15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FZ.2019.7</w:t>
      </w:r>
    </w:p>
    <w:p>
      <w:r>
        <w:t>Einspracheentscheid vom 15. November 2019</w:t>
      </w:r>
    </w:p>
    <w:p>
      <w:r>
        <w:t>Vertrauensschutz und Verbot widersprüchlichen Verhaltens der verfügenden Behörde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