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EO.2020.1 vom 21. August 2020</w:t>
      </w:r>
    </w:p>
    <w:p>
      <w:r>
        <w:t>Bs Sozialversicherungsgericht, 2020-08-21, DE</w:t>
      </w:r>
    </w:p>
    <w:p>
      <w:r>
        <w:rPr>
          <w:b/>
        </w:rPr>
        <w:t xml:space="preserve">Quelle: </w:t>
      </w:r>
      <w:r>
        <w:t>https://mcp.opencaselaw.ch/entscheid/bs_sozialversicherungsgericht_EO.2020.1</w:t>
      </w:r>
    </w:p>
    <w:p>
      <w:r>
        <w:t>FR: BS_SOZIALVERSICHERUNGSGERICHT EO.2020.1 du 21 août 2020</w:t>
      </w:r>
    </w:p>
    <w:p>
      <w:r>
        <w:t>IT: BS_SOZIALVERSICHERUNGSGERICHT EO.2020.1 del 21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18. Dezember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EO.2020.1</w:t>
      </w:r>
    </w:p>
    <w:p>
      <w:r>
        <w:t>Einsprachentscheid vom 21. August 2020</w:t>
      </w:r>
    </w:p>
    <w:p>
      <w:r>
        <w:t>Beschwerde abgewiesen. Kein Anspruch auf EO-Entschädigung gestützt auf die Covid- 19-Verordnung Erwerbsausfall aufgrund zu hohem Einkommens.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