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EL.2025.6 vom 16. April 2026</w:t>
      </w:r>
    </w:p>
    <w:p>
      <w:r>
        <w:t>Bs Sozialversicherungsgericht, 2026-04-16, DE</w:t>
      </w:r>
    </w:p>
    <w:p>
      <w:r>
        <w:rPr>
          <w:b/>
        </w:rPr>
        <w:t xml:space="preserve">Quelle: </w:t>
      </w:r>
      <w:r>
        <w:t>https://mcp.opencaselaw.ch/entscheid/bs_sozialversicherungsgericht_EL.2025.6</w:t>
      </w:r>
    </w:p>
    <w:p>
      <w:r>
        <w:t>FR: BS_SOZIALVERSICHERUNGSGERICHT EL.2025.6 du 16 avril 2026</w:t>
      </w:r>
    </w:p>
    <w:p>
      <w:r>
        <w:t>IT: BS_SOZIALVERSICHERUNGSGERICHT EL.2025.6 del 16 aprile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April 2026</w:t>
      </w:r>
    </w:p>
    <w:p>
      <w:r>
        <w:t>Mitwirkende</w:t>
      </w:r>
    </w:p>
    <w:p>
      <w:r>
        <w:t>lic. iur. R. Schnyder (Vorsitz), MLaw A. Zalad, S. Schenker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EL.2025.6</w:t>
      </w:r>
    </w:p>
    <w:p>
      <w:r>
        <w:t>Einspracheentscheid vom 4. Juli 2025</w:t>
      </w:r>
    </w:p>
    <w:p>
      <w:r>
        <w:t>Sachurteilsvoraussetzungen; Verfahrensrechte; Ergänzungsleistungen des Kindes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 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