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EL.2020.8 vom 10. August 2020</w:t>
      </w:r>
    </w:p>
    <w:p>
      <w:r>
        <w:t>Bs Sozialversicherungsgericht, 2020-08-10, DE</w:t>
      </w:r>
    </w:p>
    <w:p>
      <w:r>
        <w:rPr>
          <w:b/>
        </w:rPr>
        <w:t xml:space="preserve">Quelle: </w:t>
      </w:r>
      <w:r>
        <w:t>https://mcp.opencaselaw.ch/entscheid/bs_sozialversicherungsgericht_EL.2020.8</w:t>
      </w:r>
    </w:p>
    <w:p>
      <w:r>
        <w:t>FR: BS_SOZIALVERSICHERUNGSGERICHT EL.2020.8 du 10 août 2020</w:t>
      </w:r>
    </w:p>
    <w:p>
      <w:r>
        <w:t>IT: BS_SOZIALVERSICHERUNGSGERICHT EL.2020.8 del 10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c/o 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EL.2020.8</w:t>
      </w:r>
    </w:p>
    <w:p>
      <w:r>
        <w:t>Einspracheentscheid vom 10. August 2020</w:t>
      </w:r>
    </w:p>
    <w:p>
      <w:r>
        <w:t>Beschwerde abgewiesen. Neue Vermögenssituation, die eine EL-Neuberechnung rechtfertigen würde ist weder substantiiert noch überwiegend wahrscheinlich.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