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EL.2020.4 vom 29. April 2020</w:t>
      </w:r>
    </w:p>
    <w:p>
      <w:r>
        <w:t>Bs Sozialversicherungsgericht, 2020-04-29, DE</w:t>
      </w:r>
    </w:p>
    <w:p>
      <w:r>
        <w:rPr>
          <w:b/>
        </w:rPr>
        <w:t xml:space="preserve">Quelle: </w:t>
      </w:r>
      <w:r>
        <w:t>https://mcp.opencaselaw.ch/entscheid/bs_sozialversicherungsgericht_EL.2020.4</w:t>
      </w:r>
    </w:p>
    <w:p>
      <w:r>
        <w:t>FR: BS_SOZIALVERSICHERUNGSGERICHT EL.2020.4 du 29 avril 2020</w:t>
      </w:r>
    </w:p>
    <w:p>
      <w:r>
        <w:t>IT: BS_SOZIALVERSICHERUNGSGERICHT EL.2020.4 del 29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September 2020</w:t>
      </w:r>
    </w:p>
    <w:p>
      <w:r>
        <w:t>Mitwirkende</w:t>
      </w:r>
    </w:p>
    <w:p>
      <w:r>
        <w:t>Dr. G. Thomi (Vorsitz), C. Müller, lic. phil. D. Borer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EL.2020.4</w:t>
      </w:r>
    </w:p>
    <w:p>
      <w:r>
        <w:t>Einspracheentscheid vom 29. April 2020</w:t>
      </w:r>
    </w:p>
    <w:p>
      <w:r>
        <w:t>Einstellung der EL bei Auslandaufenthalt von mehr als drei Monaten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