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EL.2020.11 vom 8. Dezember 2020</w:t>
      </w:r>
    </w:p>
    <w:p>
      <w:r>
        <w:t>Bs Sozialversicherungsgericht, 2020-12-08, DE</w:t>
      </w:r>
    </w:p>
    <w:p>
      <w:r>
        <w:rPr>
          <w:b/>
        </w:rPr>
        <w:t xml:space="preserve">Quelle: </w:t>
      </w:r>
      <w:r>
        <w:t>https://mcp.opencaselaw.ch/entscheid/bs_sozialversicherungsgericht_EL.2020.11</w:t>
      </w:r>
    </w:p>
    <w:p>
      <w:r>
        <w:t>FR: BS_SOZIALVERSICHERUNGSGERICHT EL.2020.11 du 8 décembre 2020</w:t>
      </w:r>
    </w:p>
    <w:p>
      <w:r>
        <w:t>IT: BS_SOZIALVERSICHERUNGSGERICHT EL.2020.11 del 8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vom10. August 2021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EL.2020.11</w:t>
      </w:r>
    </w:p>
    <w:p>
      <w:r>
        <w:t>Einspracheentscheid vom 8. Dezember 2020</w:t>
      </w:r>
    </w:p>
    <w:p>
      <w:r>
        <w:t>Heizkosen als anerkannte Ausgaben. Es gilt eine Pauschale bei Personen, die ihre Mietwohnung selber beheizen müssen.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