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EL.2019.5 vom 16. März 2020</w:t>
      </w:r>
    </w:p>
    <w:p>
      <w:r>
        <w:t>Bs Sozialversicherungsgericht, 2020-03-16, DE</w:t>
      </w:r>
    </w:p>
    <w:p>
      <w:r>
        <w:rPr>
          <w:b/>
        </w:rPr>
        <w:t xml:space="preserve">Quelle: </w:t>
      </w:r>
      <w:r>
        <w:t>https://mcp.opencaselaw.ch/entscheid/bs_sozialversicherungsgericht_EL.2019.5</w:t>
      </w:r>
    </w:p>
    <w:p>
      <w:r>
        <w:t>FR: BS_SOZIALVERSICHERUNGSGERICHT EL.2019.5 du 16 mars 2020</w:t>
      </w:r>
    </w:p>
    <w:p>
      <w:r>
        <w:t>IT: BS_SOZIALVERSICHERUNGSGERICHT EL.2019.5 del 16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16. März 2020</w:t>
      </w:r>
    </w:p>
    <w:p>
      <w:r>
        <w:t>Mitwirkende</w:t>
      </w:r>
    </w:p>
    <w:p>
      <w:r>
        <w:t>Dr. A. Pfleiderer (Vorsitz), Dr. med. W. Rühl, MLaw M. Kreis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EL.2019.5</w:t>
      </w:r>
    </w:p>
    <w:p>
      <w:r>
        <w:t>Einspracheentscheid vom 26. März 2019</w:t>
      </w:r>
    </w:p>
    <w:p>
      <w:r>
        <w:t>Verkehrswert einer verschenkten Liegenschaft ist auf der Grundlage der Bewertung der Bodenbewertungsstelle des Grundbuch-und Vermessungsamts korrekt ermittelt worden. Berechnung des Vermögensverzichts und infolgedessen der Ergänzungsleistung richtig erfolgt.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