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EL.2019.4 vom 12. April 2019</w:t>
      </w:r>
    </w:p>
    <w:p>
      <w:r>
        <w:t>Bs Sozialversicherungsgericht, 2019-04-12, DE</w:t>
      </w:r>
    </w:p>
    <w:p>
      <w:r>
        <w:rPr>
          <w:b/>
        </w:rPr>
        <w:t xml:space="preserve">Quelle: </w:t>
      </w:r>
      <w:r>
        <w:t>https://mcp.opencaselaw.ch/entscheid/bs_sozialversicherungsgericht_EL.2019.4</w:t>
      </w:r>
    </w:p>
    <w:p>
      <w:r>
        <w:t>FR: BS_SOZIALVERSICHERUNGSGERICHT EL.2019.4 du 12 avril 2019</w:t>
      </w:r>
    </w:p>
    <w:p>
      <w:r>
        <w:t>IT: BS_SOZIALVERSICHERUNGSGERICHT EL.2019.4 del 12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September 2019</w:t>
      </w:r>
    </w:p>
    <w:p>
      <w:r>
        <w:t>Mitwirkende</w:t>
      </w:r>
    </w:p>
    <w:p>
      <w:r>
        <w:t>Dr. G. Thomi (Vorsitz), Dr. med. W. Rühl, lic. iur. A. Lesmann-Schaub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EL.2019.4</w:t>
      </w:r>
    </w:p>
    <w:p>
      <w:r>
        <w:t>Einspracheentscheid vom 12. April 2019</w:t>
      </w:r>
    </w:p>
    <w:p>
      <w:r>
        <w:t>Kosten für eine Wurzelkanalbehandlung sind zu übernehmen, da Zahnbehandlung einfach, wirtschaftlich und zweckmässig.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