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BV.2025.15 vom 30. Januar 2026</w:t>
      </w:r>
    </w:p>
    <w:p>
      <w:r>
        <w:t>Bs Sozialversicherungsgericht, 2026-01-30, DE</w:t>
      </w:r>
    </w:p>
    <w:p>
      <w:r>
        <w:rPr>
          <w:b/>
        </w:rPr>
        <w:t xml:space="preserve">Quelle: </w:t>
      </w:r>
      <w:r>
        <w:t>https://mcp.opencaselaw.ch/entscheid/bs_sozialversicherungsgericht_BV.2025.15</w:t>
      </w:r>
    </w:p>
    <w:p>
      <w:r>
        <w:t>FR: BS_SOZIALVERSICHERUNGSGERICHT BV.2025.15 du 30 janvier 2026</w:t>
      </w:r>
    </w:p>
    <w:p>
      <w:r>
        <w:t>IT: BS_SOZIALVERSICHERUNGSGERICHT BV.2025.15 del 30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30. Januar 2026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Thomas Käslin, Advokatur 11, Leimenstrasse 4, 4051 Basel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BV.2025.15</w:t>
      </w:r>
    </w:p>
    <w:p>
      <w:r>
        <w:t>Ausstehende Beiträge</w:t>
      </w:r>
    </w:p>
    <w:p>
      <w:r>
        <w:t>Beseitigung des Rechtsvorschlags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