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BV.2024.8 vom 24. Juli 2024</w:t>
      </w:r>
    </w:p>
    <w:p>
      <w:r>
        <w:t>Bs Sozialversicherungsgericht, 2024-07-24, DE</w:t>
      </w:r>
    </w:p>
    <w:p>
      <w:r>
        <w:rPr>
          <w:b/>
        </w:rPr>
        <w:t xml:space="preserve">Quelle: </w:t>
      </w:r>
      <w:r>
        <w:t>https://mcp.opencaselaw.ch/entscheid/bs_sozialversicherungsgericht_BV.2024.8</w:t>
      </w:r>
    </w:p>
    <w:p>
      <w:r>
        <w:t>FR: BS_SOZIALVERSICHERUNGSGERICHT BV.2024.8 du 24 juillet 2024</w:t>
      </w:r>
    </w:p>
    <w:p>
      <w:r>
        <w:t>IT: BS_SOZIALVERSICHERUNGSGERICHT BV.2024.8 del 24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24. Juli 2024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 GmbH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BV.2024.8</w:t>
      </w:r>
    </w:p>
    <w:p>
      <w:r>
        <w:t>Berufliche Vorsorge (Beiträge)</w:t>
      </w:r>
    </w:p>
    <w:p>
      <w:r>
        <w:t>Rechtsöffnung für ausstehende Prämien der beruflichen Vorsorge erteilt; Klageabweisung.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