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BV.2023.19 vom 4. Dezember 2025</w:t>
      </w:r>
    </w:p>
    <w:p>
      <w:r>
        <w:t>Bs Sozialversicherungsgericht, 2025-12-04, DE</w:t>
      </w:r>
    </w:p>
    <w:p>
      <w:r>
        <w:rPr>
          <w:b/>
        </w:rPr>
        <w:t xml:space="preserve">Quelle: </w:t>
      </w:r>
      <w:r>
        <w:t>https://mcp.opencaselaw.ch/entscheid/bs_sozialversicherungsgericht_BV.2023.19</w:t>
      </w:r>
    </w:p>
    <w:p>
      <w:r>
        <w:t>FR: BS_SOZIALVERSICHERUNGSGERICHT BV.2023.19 du 4 décembre 2025</w:t>
      </w:r>
    </w:p>
    <w:p>
      <w:r>
        <w:t>IT: BS_SOZIALVERSICHERUNGSGERICHT BV.2023.19 del 4 dicembre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2025</w:t>
      </w:r>
    </w:p>
    <w:p>
      <w:r>
        <w:t>Mitwirkende</w:t>
      </w:r>
    </w:p>
    <w:p>
      <w:r>
        <w:t>Dr. A. Pfleiderer (Vorsitz), P. Kaderli, Dr. med. F. W. Eymann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Hansjörg Geissmann, Rechtsanwalt, SCHIBLI &amp; PARTNER Advokatur und Notariat AG,</w:t>
      </w:r>
    </w:p>
    <w:p>
      <w:r>
        <w:t>Cordulaplatz 1, 5400 Baden</w:t>
      </w:r>
    </w:p>
    <w:p>
      <w:r>
        <w:t>Klägerin</w:t>
      </w:r>
    </w:p>
    <w:p>
      <w:r>
        <w:t>B____</w:t>
      </w:r>
    </w:p>
    <w:p>
      <w:r>
        <w:t>[...]</w:t>
      </w:r>
    </w:p>
    <w:p>
      <w:r>
        <w:t>vertreten durch lic. iur. Elisabeth Ruff Rudin, Advokatin,</w:t>
      </w:r>
    </w:p>
    <w:p>
      <w:r>
        <w:t>Dufour Advokatur, Dufourstrasse 49, Postfach, 4010 Basel</w:t>
      </w:r>
    </w:p>
    <w:p>
      <w:r>
        <w:t>Beklagte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BV.2023.19</w:t>
      </w:r>
    </w:p>
    <w:p>
      <w:r>
        <w:t>Klage BVG (Rente)</w:t>
      </w:r>
    </w:p>
    <w:p>
      <w:r>
        <w:t>Beginn der mindestens 20%igen Arbeitsunfähigkeit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