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BV.2023.12 vom 12. September 2024</w:t>
      </w:r>
    </w:p>
    <w:p>
      <w:r>
        <w:t>Bs Sozialversicherungsgericht, 2024-09-12, DE</w:t>
      </w:r>
    </w:p>
    <w:p>
      <w:r>
        <w:rPr>
          <w:b/>
        </w:rPr>
        <w:t xml:space="preserve">Quelle: </w:t>
      </w:r>
      <w:r>
        <w:t>https://mcp.opencaselaw.ch/entscheid/bs_sozialversicherungsgericht_BV.2023.12</w:t>
      </w:r>
    </w:p>
    <w:p>
      <w:r>
        <w:t>FR: BS_SOZIALVERSICHERUNGSGERICHT BV.2023.12 du 12 septembre 2024</w:t>
      </w:r>
    </w:p>
    <w:p>
      <w:r>
        <w:t>IT: BS_SOZIALVERSICHERUNGSGERICHT BV.2023.12 del 12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September 2024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Klägerin</w:t>
      </w:r>
    </w:p>
    <w:p>
      <w:r>
        <w:t>C____</w:t>
      </w:r>
    </w:p>
    <w:p>
      <w:r>
        <w:t>vertreten durch D____</w:t>
      </w:r>
    </w:p>
    <w:p>
      <w:r>
        <w:t>Beklagte</w:t>
      </w:r>
    </w:p>
    <w:p>
      <w:r>
        <w:t>Gegenstand</w:t>
      </w:r>
    </w:p>
    <w:p>
      <w:r>
        <w:t>BV.2023.12</w:t>
      </w:r>
    </w:p>
    <w:p>
      <w:r>
        <w:t>BVG; Invalidenleistungen; Leistungszuständigkeit i.S. von Art. 23 BVG</w:t>
      </w:r>
    </w:p>
    <w:p>
      <w:r>
        <w:t>Keine Leistungspflicht der Beklagten bei schon vor Vericherungsunterstellung eingetretener Arbeitsunfähigkeit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