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BV.2023.10 vom 17. Juli 2024</w:t>
      </w:r>
    </w:p>
    <w:p>
      <w:r>
        <w:t>Bs Sozialversicherungsgericht, 2024-07-17, DE</w:t>
      </w:r>
    </w:p>
    <w:p>
      <w:r>
        <w:rPr>
          <w:b/>
        </w:rPr>
        <w:t xml:space="preserve">Quelle: </w:t>
      </w:r>
      <w:r>
        <w:t>https://mcp.opencaselaw.ch/entscheid/bs_sozialversicherungsgericht_BV.2023.10</w:t>
      </w:r>
    </w:p>
    <w:p>
      <w:r>
        <w:t>FR: BS_SOZIALVERSICHERUNGSGERICHT BV.2023.10 du 17 juillet 2024</w:t>
      </w:r>
    </w:p>
    <w:p>
      <w:r>
        <w:t>IT: BS_SOZIALVERSICHERUNGSGERICHT BV.2023.10 del 17 luglio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17. Juli 2024</w:t>
      </w:r>
    </w:p>
    <w:p>
      <w:r>
        <w:t>Mitwirkende</w:t>
      </w:r>
    </w:p>
    <w:p>
      <w:r>
        <w:t>Dr. A. Pfleiderer (Vorsitz), lic. iur. M. Prack Hoenen, P. Waegeli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Klägerin</w:t>
      </w:r>
    </w:p>
    <w:p>
      <w:r>
        <w:t>Pensionskasse C____</w:t>
      </w:r>
    </w:p>
    <w:p>
      <w:r>
        <w:t>[...]</w:t>
      </w:r>
    </w:p>
    <w:p>
      <w:r>
        <w:t>vertreten durch D____, [...]</w:t>
      </w:r>
    </w:p>
    <w:p>
      <w:r>
        <w:t>Beklagte</w:t>
      </w:r>
    </w:p>
    <w:p>
      <w:r>
        <w:t>Gegenstand</w:t>
      </w:r>
    </w:p>
    <w:p>
      <w:r>
        <w:t>BV.2023.10</w:t>
      </w:r>
    </w:p>
    <w:p>
      <w:r>
        <w:t>Rentenleistungen der beruflichen Vorsorge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