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left"/>
      </w:pPr>
      <w:r>
        <w:t>BS_SOZIALVERSICHERUNGSGERICHT BV.2022.5 vom 21. Juli 2022</w:t>
      </w:r>
    </w:p>
    <w:p>
      <w:r>
        <w:t>Bs Sozialversicherungsgericht, 2022-07-21, DE</w:t>
      </w:r>
    </w:p>
    <w:p>
      <w:r>
        <w:rPr>
          <w:b/>
        </w:rPr>
        <w:t xml:space="preserve">Quelle: </w:t>
      </w:r>
      <w:r>
        <w:t>https://mcp.opencaselaw.ch/entscheid/bs_sozialversicherungsgericht_BV.2022.5</w:t>
      </w:r>
    </w:p>
    <w:p>
      <w:r>
        <w:t>FR: BS_SOZIALVERSICHERUNGSGERICHT BV.2022.5 du 21 juillet 2022</w:t>
      </w:r>
    </w:p>
    <w:p>
      <w:r>
        <w:t>IT: BS_SOZIALVERSICHERUNGSGERICHT BV.2022.5 del 21 luglio 2022</w:t>
      </w:r>
    </w:p>
    <w:p>
      <w:pPr>
        <w:pStyle w:val="Heading2"/>
      </w:pPr>
      <w:r>
        <w:t>Volltext</w:t>
      </w:r>
    </w:p>
    <w:p>
      <w:r>
        <w:t>Sozialversicherungsgericht</w:t>
      </w:r>
    </w:p>
    <w:p>
      <w:r>
        <w:t>des Kantons Basel-Stadt</w:t>
      </w:r>
    </w:p>
    <w:p>
      <w:r>
        <w:t>Urteilder Präsidentin</w:t>
      </w:r>
    </w:p>
    <w:p>
      <w:r>
        <w:t>vom21. Juli 2022</w:t>
      </w:r>
    </w:p>
    <w:p>
      <w:r>
        <w:t>Parteien</w:t>
      </w:r>
    </w:p>
    <w:p>
      <w:r>
        <w:t>A____</w:t>
      </w:r>
    </w:p>
    <w:p>
      <w:r>
        <w:t>c/o [...]</w:t>
      </w:r>
    </w:p>
    <w:p>
      <w:r>
        <w:t>Klägerin</w:t>
      </w:r>
    </w:p>
    <w:p>
      <w:r>
        <w:t>B____</w:t>
      </w:r>
    </w:p>
    <w:p>
      <w:r>
        <w:t>[...]</w:t>
      </w:r>
    </w:p>
    <w:p>
      <w:r>
        <w:t>Beklagte</w:t>
      </w:r>
    </w:p>
    <w:p>
      <w:r>
        <w:t>Gegenstand</w:t>
      </w:r>
    </w:p>
    <w:p>
      <w:r>
        <w:t>BV.2022.5</w:t>
      </w:r>
    </w:p>
    <w:p>
      <w:r>
        <w:t>Berufliche Vorsorge (Beiträge)</w:t>
      </w:r>
    </w:p>
    <w:p>
      <w:r>
        <w:t>Klage gutgeheissen und Rechtsvorschlag beseitigt.</w:t>
      </w:r>
    </w:p>
    <w:p>
      <w:r>
        <w:t>Die Präsidentin                                                         Die Gerichtsschreiberin</w:t>
      </w:r>
    </w:p>
    <w:p>
      <w:r>
        <w:t>lic. iur. R. SchnyderMlaw Noëmi Marbot</w:t>
      </w:r>
    </w:p>
    <w:p>
      <w:r>
        <w:t>Gegen diesen Entscheid kann innert 30 Tagen nach der Eröffnung der vollständigen Ausfertigung beim Bundesgericht Beschwerde eingereicht werden (Art. 100 Abs. 1 des Bundesgesetzes vom 17. Juni 2005 über das Bundesgericht [Bundesgerichtsgesetz, BGG]). Die Beschwerdefrist kann nicht erstreckt werden (Art. 47 Abs. 1 BGG). Die Beschwerdegründe sind in Art. 95 ff. BGG geregelt.</w:t>
      </w:r>
    </w:p>
    <w:p>
      <w:r>
        <w:t>Die Beschwerdeschrift ist dem Bundesgericht, Schweizerhofquai 6, 6004 Luzern, in dreifacher Ausfertigung zuzustellen. Die Beschwerdeschrift hat den Anforderungen gemäss Art. 42 BGG zu genügen; zu beachten ist dabei insbesondere:</w:t>
      </w:r>
    </w:p>
    <w:p>
      <w:r>
        <w:t>a)            Die Beschwerdeschrift ist in einer Amtssprache abzufassen und hat die Begehren, deren Begründung mit Angabe der Beweismittel und die Unterschrift zu enthalten;</w:t>
      </w:r>
    </w:p>
    <w:p>
      <w:r>
        <w:t>b)            in der Begründung ist in gedrängter Form darzulegen, inwiefern der angefochtene Entscheid Recht verletzt;</w:t>
      </w:r>
    </w:p>
    <w:p>
      <w:r>
        <w:t>c)             die Urkunden, auf die sich die Partei als Beweismittel beruft, sind beizulegen, soweit die Partei sie in Händen hat, ebenso der angefochtene Entscheid.</w:t>
      </w:r>
    </w:p>
    <w:p>
      <w:r>
        <w:t>Geht an:</w:t>
      </w:r>
    </w:p>
    <w:p>
      <w:r>
        <w:t>Versandt am:</w:t>
      </w:r>
    </w:p>
    <w:p/>
    <w:p>
      <w:pPr>
        <w:spacing w:before="240"/>
      </w:pPr>
      <w:r>
        <w:t>Export aus OpenCaseLaw (CC0). Verbindlich ist allein der vom erlassenden Gericht veröffentlichte Originaltext. Quellen-URL siehe oben.</w:t>
      </w:r>
    </w:p>
    <w:sectPr w:rsidR="00FC693F" w:rsidRPr="0006063C" w:rsidSect="00034616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Rule="auto" w:line="288" w:before="0" w:after="120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0" w:after="120" w:lineRule="auto" w:line="288"/>
      <w:outlineLvl w:val="0"/>
    </w:pPr>
    <w:rPr>
      <w:rFonts w:asciiTheme="majorHAnsi" w:eastAsiaTheme="majorEastAsia" w:hAnsiTheme="majorHAnsi" w:cstheme="majorBidi" w:ascii="Times New Roman" w:hAnsi="Times New Roman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0" w:after="120" w:lineRule="auto" w:line="288"/>
      <w:outlineLvl w:val="1"/>
    </w:pPr>
    <w:rPr>
      <w:rFonts w:asciiTheme="majorHAnsi" w:eastAsiaTheme="majorEastAsia" w:hAnsiTheme="majorHAnsi" w:cstheme="majorBidi" w:ascii="Times New Roman" w:hAnsi="Times New Roman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0" w:after="120" w:lineRule="auto" w:line="288"/>
      <w:outlineLvl w:val="2"/>
    </w:pPr>
    <w:rPr>
      <w:rFonts w:asciiTheme="majorHAnsi" w:eastAsiaTheme="majorEastAsia" w:hAnsiTheme="majorHAnsi" w:cstheme="majorBidi" w:ascii="Times New Roman" w:hAnsi="Times New Roman"/>
      <w:b/>
      <w:bCs/>
      <w:color w:val="4F81BD" w:themeColor="accent1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