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BV.2022.2 vom 16. Februar 2023</w:t>
      </w:r>
    </w:p>
    <w:p>
      <w:r>
        <w:t>Bs Sozialversicherungsgericht, 2023-02-16, DE</w:t>
      </w:r>
    </w:p>
    <w:p>
      <w:r>
        <w:rPr>
          <w:b/>
        </w:rPr>
        <w:t xml:space="preserve">Quelle: </w:t>
      </w:r>
      <w:r>
        <w:t>https://mcp.opencaselaw.ch/entscheid/bs_sozialversicherungsgericht_BV.2022.2</w:t>
      </w:r>
    </w:p>
    <w:p>
      <w:r>
        <w:t>FR: BS_SOZIALVERSICHERUNGSGERICHT BV.2022.2 du 16 février 2023</w:t>
      </w:r>
    </w:p>
    <w:p>
      <w:r>
        <w:t>IT: BS_SOZIALVERSICHERUNGSGERICHT BV.2022.2 del 16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Februar 2023</w:t>
      </w:r>
    </w:p>
    <w:p>
      <w:r>
        <w:t>Mitwirkende</w:t>
      </w:r>
    </w:p>
    <w:p>
      <w:r>
        <w:t>lic. iur. R. Schnyder (Vorsitz), P. Kaderli,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lic. iur. D____, [...]</w:t>
      </w:r>
    </w:p>
    <w:p>
      <w:r>
        <w:t>Beklagte 1</w:t>
      </w:r>
    </w:p>
    <w:p>
      <w:r>
        <w:t>E____</w:t>
      </w:r>
    </w:p>
    <w:p>
      <w:r>
        <w:t>[...]</w:t>
      </w:r>
    </w:p>
    <w:p>
      <w:r>
        <w:t>Beklagte 2</w:t>
      </w:r>
    </w:p>
    <w:p>
      <w:r>
        <w:t>F____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BV.2022.2</w:t>
      </w:r>
    </w:p>
    <w:p>
      <w:r>
        <w:t>Leistungszuständigkeit</w:t>
      </w:r>
    </w:p>
    <w:p>
      <w:r>
        <w:t>Zeitlicher und sachlicher Konnex bei verschiedenen Gesundheitsschädigungen; ist die Krankheit arbeitsrechtlich in Erscheinung getreten, kein Bestehen einer Gemengelage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