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BV.2021.24 vom 28. November 2024</w:t>
      </w:r>
    </w:p>
    <w:p>
      <w:r>
        <w:t>Bs Sozialversicherungsgericht, 2024-11-28, DE</w:t>
      </w:r>
    </w:p>
    <w:p>
      <w:r>
        <w:rPr>
          <w:b/>
        </w:rPr>
        <w:t xml:space="preserve">Quelle: </w:t>
      </w:r>
      <w:r>
        <w:t>https://mcp.opencaselaw.ch/entscheid/bs_sozialversicherungsgericht_BV.2021.24</w:t>
      </w:r>
    </w:p>
    <w:p>
      <w:r>
        <w:t>FR: BS_SOZIALVERSICHERUNGSGERICHT BV.2021.24 du 28 novembre 2024</w:t>
      </w:r>
    </w:p>
    <w:p>
      <w:r>
        <w:t>IT: BS_SOZIALVERSICHERUNGSGERICHT BV.2021.24 del 28 novembre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vom28. November 2024</w:t>
      </w:r>
    </w:p>
    <w:p>
      <w:r>
        <w:t>Mitwirkende</w:t>
      </w:r>
    </w:p>
    <w:p>
      <w:r>
        <w:t>Dr. G. Thomi (Vorsitz), lic. phil. D. Borer, Dr. med. F. W. Eymann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Kläger</w:t>
      </w:r>
    </w:p>
    <w:p>
      <w:r>
        <w:t>Personalvorsorgestiftung C____</w:t>
      </w:r>
    </w:p>
    <w:p>
      <w:r>
        <w:t>vertreten durch D____</w:t>
      </w:r>
    </w:p>
    <w:p>
      <w:r>
        <w:t>Beklagte</w:t>
      </w:r>
    </w:p>
    <w:p>
      <w:r>
        <w:t>Gegenstand</w:t>
      </w:r>
    </w:p>
    <w:p>
      <w:r>
        <w:t>BV.2021.24</w:t>
      </w:r>
    </w:p>
    <w:p>
      <w:r>
        <w:t>Anspruch des überlebenden (unverheirateten) Lebenspartners des verstorbenen Rentenbezügers bei gleichem amtlichem Wohnsitz während mindestens 5 Jahren (reglementarische Abweichung vom Wohnsitzbegriff i.S. von Art. 23 ZGB zulässig)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