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BV.2021.19 vom 21. Dezember 2023</w:t>
      </w:r>
    </w:p>
    <w:p>
      <w:r>
        <w:t>Bs Sozialversicherungsgericht, 2023-12-21, DE</w:t>
      </w:r>
    </w:p>
    <w:p>
      <w:r>
        <w:rPr>
          <w:b/>
        </w:rPr>
        <w:t xml:space="preserve">Quelle: </w:t>
      </w:r>
      <w:r>
        <w:t>https://mcp.opencaselaw.ch/entscheid/bs_sozialversicherungsgericht_BV.2021.19</w:t>
      </w:r>
    </w:p>
    <w:p>
      <w:r>
        <w:t>FR: BS_SOZIALVERSICHERUNGSGERICHT BV.2021.19 du 21 décembre 2023</w:t>
      </w:r>
    </w:p>
    <w:p>
      <w:r>
        <w:t>IT: BS_SOZIALVERSICHERUNGSGERICHT BV.2021.19 del 21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Dezember 2023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BV.2021.19</w:t>
      </w:r>
    </w:p>
    <w:p>
      <w:r>
        <w:t>BVG - Invalidenrente</w:t>
      </w:r>
    </w:p>
    <w:p>
      <w:r>
        <w:t>Klage gutgeheissen. Massgebliche Arbeitsunfähigkeit trat im Zeitpunkt des Versicherungsverhältnisses mit der Beklagten ein.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