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BV.2020.5 vom 15. November 2022</w:t>
      </w:r>
    </w:p>
    <w:p>
      <w:r>
        <w:t>Bs Sozialversicherungsgericht, 2022-11-15, DE</w:t>
      </w:r>
    </w:p>
    <w:p>
      <w:r>
        <w:rPr>
          <w:b/>
        </w:rPr>
        <w:t xml:space="preserve">Quelle: </w:t>
      </w:r>
      <w:r>
        <w:t>https://mcp.opencaselaw.ch/entscheid/bs_sozialversicherungsgericht_BV.2020.5</w:t>
      </w:r>
    </w:p>
    <w:p>
      <w:r>
        <w:t>FR: BS_SOZIALVERSICHERUNGSGERICHT BV.2020.5 du 15 novembre 2022</w:t>
      </w:r>
    </w:p>
    <w:p>
      <w:r>
        <w:t>IT: BS_SOZIALVERSICHERUNGSGERICHT BV.2020.5 del 15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November 2022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BV.2020.5</w:t>
      </w:r>
    </w:p>
    <w:p>
      <w:r>
        <w:t>Erwerbsunfähigkeitsleistungen aus beruflicher Vorsorge (Säule 3a)</w:t>
      </w:r>
    </w:p>
    <w:p>
      <w:r>
        <w:t>Eintritt des Versicherungsfalles vor dem Eintritt des (seitens des Versicherers geltend gemachten) Ruhens der Leistungspflicht gemäss Art. 20 Abs. 3 VVG.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