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BV.2020.19 vom 11. Mai 2021</w:t>
      </w:r>
    </w:p>
    <w:p>
      <w:r>
        <w:t>Bs Sozialversicherungsgericht, 2021-05-11, DE</w:t>
      </w:r>
    </w:p>
    <w:p>
      <w:r>
        <w:rPr>
          <w:b/>
        </w:rPr>
        <w:t xml:space="preserve">Quelle: </w:t>
      </w:r>
      <w:r>
        <w:t>https://mcp.opencaselaw.ch/entscheid/bs_sozialversicherungsgericht_BV.2020.19</w:t>
      </w:r>
    </w:p>
    <w:p>
      <w:r>
        <w:t>FR: BS_SOZIALVERSICHERUNGSGERICHT BV.2020.19 du 11 mai 2021</w:t>
      </w:r>
    </w:p>
    <w:p>
      <w:r>
        <w:t>IT: BS_SOZIALVERSICHERUNGSGERICHT BV.2020.19 del 11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BV.2020.19</w:t>
      </w:r>
    </w:p>
    <w:p>
      <w:r>
        <w:t>Anzeigepflichtverletzung</w:t>
      </w:r>
    </w:p>
    <w:p>
      <w:r>
        <w:t>Beginn des Vorsorgeschutzes, Rücktritt aufgrund einer Anzeigepflichtverletzung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