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BV.2020.18 vom 24. November 2020</w:t>
      </w:r>
    </w:p>
    <w:p>
      <w:r>
        <w:t>Bs Sozialversicherungsgericht, 2020-11-24, DE</w:t>
      </w:r>
    </w:p>
    <w:p>
      <w:r>
        <w:rPr>
          <w:b/>
        </w:rPr>
        <w:t xml:space="preserve">Quelle: </w:t>
      </w:r>
      <w:r>
        <w:t>https://mcp.opencaselaw.ch/entscheid/bs_sozialversicherungsgericht_BV.2020.18</w:t>
      </w:r>
    </w:p>
    <w:p>
      <w:r>
        <w:t>FR: BS_SOZIALVERSICHERUNGSGERICHT BV.2020.18 du 24 novembre 2020</w:t>
      </w:r>
    </w:p>
    <w:p>
      <w:r>
        <w:t>IT: BS_SOZIALVERSICHERUNGSGERICHT BV.2020.18 del 24 novembre 2020</w:t>
      </w:r>
    </w:p>
    <w:p>
      <w:pPr>
        <w:pStyle w:val="Heading2"/>
      </w:pPr>
      <w:r>
        <w:t>Volltext</w:t>
      </w:r>
    </w:p>
    <w:p>
      <w:r>
        <w:t>J____Sozialversicherungsgericht</w:t>
      </w:r>
    </w:p>
    <w:p>
      <w:r>
        <w:t>des Kantons Basel-Stadt</w:t>
      </w:r>
    </w:p>
    <w:p>
      <w:r>
        <w:t>URTEIL</w:t>
      </w:r>
    </w:p>
    <w:p>
      <w:r>
        <w:t>vom24. November 2020</w:t>
      </w:r>
    </w:p>
    <w:p>
      <w:r>
        <w:t>Mitwirkende</w:t>
      </w:r>
    </w:p>
    <w:p>
      <w:r>
        <w:t>lic. iur. K. Zehnder (Vorsitz), lic. iur. S. Bammatter-Glättli, MLaw A. Zalad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Behindertenforum, B____, 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BV.2020.18</w:t>
      </w:r>
    </w:p>
    <w:p>
      <w:r>
        <w:t>Invalidenrente BVG</w:t>
      </w:r>
    </w:p>
    <w:p>
      <w:r>
        <w:t>Beschwerde gutgeheissen. Sachliche und zeitliche Konnexität zwischen Arbeitsunfähigkeit und Invalidität gegeben.</w:t>
      </w:r>
    </w:p>
    <w:p>
      <w:r>
        <w:t>Die Präsidentin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