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BV.2020.17 vom 15. Juli 2020</w:t>
      </w:r>
    </w:p>
    <w:p>
      <w:r>
        <w:t>Bs Sozialversicherungsgericht, 2020-07-15, DE</w:t>
      </w:r>
    </w:p>
    <w:p>
      <w:r>
        <w:rPr>
          <w:b/>
        </w:rPr>
        <w:t xml:space="preserve">Quelle: </w:t>
      </w:r>
      <w:r>
        <w:t>https://mcp.opencaselaw.ch/entscheid/bs_sozialversicherungsgericht_BV.2020.17</w:t>
      </w:r>
    </w:p>
    <w:p>
      <w:r>
        <w:t>FR: BS_SOZIALVERSICHERUNGSGERICHT BV.2020.17 du 15 juillet 2020</w:t>
      </w:r>
    </w:p>
    <w:p>
      <w:r>
        <w:t>IT: BS_SOZIALVERSICHERUNGSGERICHT BV.2020.17 del 15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Juli 2020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AXA Leben AG</w:t>
      </w:r>
    </w:p>
    <w:p>
      <w:r>
        <w:t>General Guisan-Strasse 40, Postfach 300, 8400 Winterthur</w:t>
      </w:r>
    </w:p>
    <w:p>
      <w:r>
        <w:t>vertreten durch Dr. C____, Advokatin, [...]</w:t>
      </w:r>
    </w:p>
    <w:p>
      <w:r>
        <w:t>Beklagte</w:t>
      </w:r>
    </w:p>
    <w:p>
      <w:r>
        <w:t>Gegenstand</w:t>
      </w:r>
    </w:p>
    <w:p>
      <w:r>
        <w:t>BV.2020.17</w:t>
      </w:r>
    </w:p>
    <w:p>
      <w:r>
        <w:t>Klage vom 31. Dezember 2019</w:t>
      </w:r>
    </w:p>
    <w:p>
      <w:r>
        <w:t>Kündigung der Lebensversicherung im Rahmen der gebundenen Vorsorge 3a wegen Verletzung der Anzeigepflicht nach Art. 4 VVG bejaht. Kein Anspruch auf Erlass der Prämienzahlung gestützt auf die Erwerbsunfähigkeitsklausel aus dem gekündigten Vertragsverhältnis im Rahmen des neu abgeschlossenen Versicherungsvertrags.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