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BV.2020.16 vom 30. August 2021</w:t>
      </w:r>
    </w:p>
    <w:p>
      <w:r>
        <w:t>Bs Sozialversicherungsgericht, 2021-08-30, DE</w:t>
      </w:r>
    </w:p>
    <w:p>
      <w:r>
        <w:rPr>
          <w:b/>
        </w:rPr>
        <w:t xml:space="preserve">Quelle: </w:t>
      </w:r>
      <w:r>
        <w:t>https://mcp.opencaselaw.ch/entscheid/bs_sozialversicherungsgericht_BV.2020.16</w:t>
      </w:r>
    </w:p>
    <w:p>
      <w:r>
        <w:t>FR: BS_SOZIALVERSICHERUNGSGERICHT BV.2020.16 du 30 août 2021</w:t>
      </w:r>
    </w:p>
    <w:p>
      <w:r>
        <w:t>IT: BS_SOZIALVERSICHERUNGSGERICHT BV.2020.16 del 30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Klägerin</w:t>
      </w:r>
    </w:p>
    <w:p>
      <w:r>
        <w:t>C____</w:t>
      </w:r>
    </w:p>
    <w:p>
      <w:r>
        <w:t>Der D____, [...]</w:t>
      </w:r>
    </w:p>
    <w:p>
      <w:r>
        <w:t>vertreten durch E____, [...]</w:t>
      </w:r>
    </w:p>
    <w:p>
      <w:r>
        <w:t>Beklagte 1</w:t>
      </w:r>
    </w:p>
    <w:p>
      <w:r>
        <w:t>F____</w:t>
      </w:r>
    </w:p>
    <w:p>
      <w:r>
        <w:t>[...]</w:t>
      </w:r>
    </w:p>
    <w:p>
      <w:r>
        <w:t>vertreten durch lic. iur. G____, [...]</w:t>
      </w:r>
    </w:p>
    <w:p>
      <w:r>
        <w:t>Beklagte 2</w:t>
      </w:r>
    </w:p>
    <w:p>
      <w:r>
        <w:t>Gegenstand</w:t>
      </w:r>
    </w:p>
    <w:p>
      <w:r>
        <w:t>BV.2020.16</w:t>
      </w:r>
    </w:p>
    <w:p>
      <w:r>
        <w:t>BVG Invalidenrente</w:t>
      </w:r>
    </w:p>
    <w:p>
      <w:r>
        <w:t>Beschwerde teilweise gutgeheissen. Gemäss Art. 23 BVG Anspruch auf Verssicherungsleistungen aus der obligatorischen Versicherung gegenüber der Beklagten 1. Kein Anspruch auf überobligatorische Leistungen wegen Verletzung der Anzeigepflicht.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