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BV.2019.8 vom 5. Mai 2020</w:t>
      </w:r>
    </w:p>
    <w:p>
      <w:r>
        <w:t>Bs Sozialversicherungsgericht, 2020-05-05, DE</w:t>
      </w:r>
    </w:p>
    <w:p>
      <w:r>
        <w:rPr>
          <w:b/>
        </w:rPr>
        <w:t xml:space="preserve">Quelle: </w:t>
      </w:r>
      <w:r>
        <w:t>https://mcp.opencaselaw.ch/entscheid/bs_sozialversicherungsgericht_BV.2019.8</w:t>
      </w:r>
    </w:p>
    <w:p>
      <w:r>
        <w:t>FR: BS_SOZIALVERSICHERUNGSGERICHT BV.2019.8 du 5 mai 2020</w:t>
      </w:r>
    </w:p>
    <w:p>
      <w:r>
        <w:t>IT: BS_SOZIALVERSICHERUNGSGERICHT BV.2019.8 del 5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5. Mai 2020</w:t>
      </w:r>
    </w:p>
    <w:p>
      <w:r>
        <w:t>Mitwirkende</w:t>
      </w:r>
    </w:p>
    <w:p>
      <w:r>
        <w:t>lic. iur. K. Zehnder (Vorsitz), lic. iur. M. Spöndlin,Dr. med. R. von Aarburg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B____</w:t>
      </w:r>
    </w:p>
    <w:p>
      <w:r>
        <w:t>Beklagte</w:t>
      </w:r>
    </w:p>
    <w:p>
      <w:r>
        <w:t>Gegenstand</w:t>
      </w:r>
    </w:p>
    <w:p>
      <w:r>
        <w:t>BV.2019.8</w:t>
      </w:r>
    </w:p>
    <w:p>
      <w:r>
        <w:t>Klage vom 23. Mai 2019</w:t>
      </w:r>
    </w:p>
    <w:p>
      <w:r>
        <w:t>Überentschädigung; zumutbarerweise noch erzielbares Einkommen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