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BV.2019.6 vom 22. Juni 2020</w:t>
      </w:r>
    </w:p>
    <w:p>
      <w:r>
        <w:t>Bs Sozialversicherungsgericht, 2020-06-22, DE</w:t>
      </w:r>
    </w:p>
    <w:p>
      <w:r>
        <w:rPr>
          <w:b/>
        </w:rPr>
        <w:t xml:space="preserve">Quelle: </w:t>
      </w:r>
      <w:r>
        <w:t>https://mcp.opencaselaw.ch/entscheid/bs_sozialversicherungsgericht_BV.2019.6</w:t>
      </w:r>
    </w:p>
    <w:p>
      <w:r>
        <w:t>FR: BS_SOZIALVERSICHERUNGSGERICHT BV.2019.6 du 22 juin 2020</w:t>
      </w:r>
    </w:p>
    <w:p>
      <w:r>
        <w:t>IT: BS_SOZIALVERSICHERUNGSGERICHT BV.2019.6 del 22 giugno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22. Juni 2020</w:t>
      </w:r>
    </w:p>
    <w:p>
      <w:r>
        <w:t>Mitwirkende</w:t>
      </w:r>
    </w:p>
    <w:p>
      <w:r>
        <w:t>Dr. A. Pfleiderer (Vorsitz), lic. iur. M. Prack Hoenen, lic. phil. D. Borer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Kläger</w:t>
      </w:r>
    </w:p>
    <w:p>
      <w:r>
        <w:t>C____</w:t>
      </w:r>
    </w:p>
    <w:p>
      <w:r>
        <w:t>[...]</w:t>
      </w:r>
    </w:p>
    <w:p>
      <w:r>
        <w:t>vertreten durch lic. iur. D____, Advokatin, Dufour Advokatur, Dufourstrasse 49, Postfach, 4010 Basel</w:t>
      </w:r>
    </w:p>
    <w:p>
      <w:r>
        <w:t>Beklagte</w:t>
      </w:r>
    </w:p>
    <w:p>
      <w:r>
        <w:t>E____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BV.2019.6</w:t>
      </w:r>
    </w:p>
    <w:p>
      <w:r>
        <w:t>Klage vom 22. April 2019</w:t>
      </w:r>
    </w:p>
    <w:p>
      <w:r>
        <w:t>Wechsel der Vorsorgeeinrichtung durch den Arbeitgeber; latenter Invaliditätsfall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