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BV.2019.5 vom 17. Dezember 2019</w:t>
      </w:r>
    </w:p>
    <w:p>
      <w:r>
        <w:t>Bs Sozialversicherungsgericht, 2019-12-17, DE</w:t>
      </w:r>
    </w:p>
    <w:p>
      <w:r>
        <w:rPr>
          <w:b/>
        </w:rPr>
        <w:t xml:space="preserve">Quelle: </w:t>
      </w:r>
      <w:r>
        <w:t>https://mcp.opencaselaw.ch/entscheid/bs_sozialversicherungsgericht_BV.2019.5</w:t>
      </w:r>
    </w:p>
    <w:p>
      <w:r>
        <w:t>FR: BS_SOZIALVERSICHERUNGSGERICHT BV.2019.5 du 17 décembre 2019</w:t>
      </w:r>
    </w:p>
    <w:p>
      <w:r>
        <w:t>IT: BS_SOZIALVERSICHERUNGSGERICHT BV.2019.5 del 17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Dezember 2019</w:t>
      </w:r>
    </w:p>
    <w:p>
      <w:r>
        <w:t>Mitwirkende</w:t>
      </w:r>
    </w:p>
    <w:p>
      <w:r>
        <w:t>Dr. G. Thomi (Vorsitz), lic. iur. A. Lesmann-Schaub, lic. iur. S. Bammatter-Glättliund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Klägerin</w:t>
      </w:r>
    </w:p>
    <w:p>
      <w:r>
        <w:t>Stiftung Auffangeinrichtung BVG</w:t>
      </w:r>
    </w:p>
    <w:p>
      <w:r>
        <w:t>Recht &amp; Compliance, Elias-Canetti-Strasse 2, Postfach, 8050 Zürich</w:t>
      </w:r>
    </w:p>
    <w:p>
      <w:r>
        <w:t>Beklagte</w:t>
      </w:r>
    </w:p>
    <w:p>
      <w:r>
        <w:t>Gegenstand</w:t>
      </w:r>
    </w:p>
    <w:p>
      <w:r>
        <w:t>BV.2019.5</w:t>
      </w:r>
    </w:p>
    <w:p>
      <w:r>
        <w:t>BVG; Leistungspflicht (Art. 23 lit. a BVG)</w:t>
      </w:r>
    </w:p>
    <w:p>
      <w:r>
        <w:t>Zeitliche Konnexität zur Begründung der Leistungspflicht verneint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