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BV.2019.3 vom 16. April 2019</w:t>
      </w:r>
    </w:p>
    <w:p>
      <w:r>
        <w:t>Bs Sozialversicherungsgericht, 2019-04-16, DE</w:t>
      </w:r>
    </w:p>
    <w:p>
      <w:r>
        <w:rPr>
          <w:b/>
        </w:rPr>
        <w:t xml:space="preserve">Quelle: </w:t>
      </w:r>
      <w:r>
        <w:t>https://mcp.opencaselaw.ch/entscheid/bs_sozialversicherungsgericht_BV.2019.3</w:t>
      </w:r>
    </w:p>
    <w:p>
      <w:r>
        <w:t>FR: BS_SOZIALVERSICHERUNGSGERICHT BV.2019.3 du 16 avril 2019</w:t>
      </w:r>
    </w:p>
    <w:p>
      <w:r>
        <w:t>IT: BS_SOZIALVERSICHERUNGSGERICHT BV.2019.3 del 16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vom16. April 2019</w:t>
      </w:r>
    </w:p>
    <w:p>
      <w:r>
        <w:t>Parteien</w:t>
      </w:r>
    </w:p>
    <w:p>
      <w:r>
        <w:t>A____</w:t>
      </w:r>
    </w:p>
    <w:p>
      <w:r>
        <w:t>Klägerin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BV.2019.3</w:t>
      </w:r>
    </w:p>
    <w:p>
      <w:r>
        <w:t>Klage vom 1. März 2019</w:t>
      </w:r>
    </w:p>
    <w:p>
      <w:r>
        <w:t>Prämienforderung; Beseitigung des Rechtsvorschlags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