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BV.2019.2 vom 22. Oktober 2019</w:t>
      </w:r>
    </w:p>
    <w:p>
      <w:r>
        <w:t>Bs Sozialversicherungsgericht, 2019-10-22, DE</w:t>
      </w:r>
    </w:p>
    <w:p>
      <w:r>
        <w:rPr>
          <w:b/>
        </w:rPr>
        <w:t xml:space="preserve">Quelle: </w:t>
      </w:r>
      <w:r>
        <w:t>https://mcp.opencaselaw.ch/entscheid/bs_sozialversicherungsgericht_BV.2019.2</w:t>
      </w:r>
    </w:p>
    <w:p>
      <w:r>
        <w:t>FR: BS_SOZIALVERSICHERUNGSGERICHT BV.2019.2 du 22 octobre 2019</w:t>
      </w:r>
    </w:p>
    <w:p>
      <w:r>
        <w:t>IT: BS_SOZIALVERSICHERUNGSGERICHT BV.2019.2 del 22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Oktober 2019</w:t>
      </w:r>
    </w:p>
    <w:p>
      <w:r>
        <w:t>Mitwirkende</w:t>
      </w:r>
    </w:p>
    <w:p>
      <w:r>
        <w:t>Dr. G. Thomi (Vorsitz), C. Müller, MLaw M. Kreis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</w:t>
      </w:r>
    </w:p>
    <w:p>
      <w:r>
        <w:t>C____</w:t>
      </w:r>
    </w:p>
    <w:p>
      <w:r>
        <w:t>Beklagte</w:t>
      </w:r>
    </w:p>
    <w:p>
      <w:r>
        <w:t>Gegenstand</w:t>
      </w:r>
    </w:p>
    <w:p>
      <w:r>
        <w:t>BV.2019.2</w:t>
      </w:r>
    </w:p>
    <w:p>
      <w:r>
        <w:t>Klage vom 4. Februar 2019</w:t>
      </w:r>
    </w:p>
    <w:p>
      <w:r>
        <w:t>Rückforderung unrechtmässig bezogener Invalidenrente, Verrechnung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