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BV.2019.15 vom 19. Oktober 2020</w:t>
      </w:r>
    </w:p>
    <w:p>
      <w:r>
        <w:t>Bs Sozialversicherungsgericht, 2020-10-19, DE</w:t>
      </w:r>
    </w:p>
    <w:p>
      <w:r>
        <w:rPr>
          <w:b/>
        </w:rPr>
        <w:t xml:space="preserve">Quelle: </w:t>
      </w:r>
      <w:r>
        <w:t>https://mcp.opencaselaw.ch/entscheid/bs_sozialversicherungsgericht_BV.2019.15</w:t>
      </w:r>
    </w:p>
    <w:p>
      <w:r>
        <w:t>FR: BS_SOZIALVERSICHERUNGSGERICHT BV.2019.15 du 19 octobre 2020</w:t>
      </w:r>
    </w:p>
    <w:p>
      <w:r>
        <w:t>IT: BS_SOZIALVERSICHERUNGSGERICHT BV.2019.15 del 19 ottobre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E____</w:t>
      </w:r>
    </w:p>
    <w:p>
      <w:r>
        <w:t>[...]</w:t>
      </w:r>
    </w:p>
    <w:p>
      <w:r>
        <w:t>vertreten durch Dr. F____, [...]</w:t>
      </w:r>
    </w:p>
    <w:p>
      <w:r>
        <w:t>Beklagte</w:t>
      </w:r>
    </w:p>
    <w:p>
      <w:r>
        <w:rPr>
          <w:b/>
        </w:rPr>
        <w:t>E. 2</w:t>
      </w:r>
    </w:p>
    <w:p>
      <w:r>
        <w:t>Stiftung Auffangeinrichtung BVG</w:t>
      </w:r>
    </w:p>
    <w:p>
      <w:r>
        <w:t>Recht &amp; Compliance, Elias-Canetti-Strasse 2, Postfach, 8050 Zürich</w:t>
      </w:r>
    </w:p>
    <w:p>
      <w:r>
        <w:t>Beklagte</w:t>
      </w:r>
    </w:p>
    <w:p>
      <w:r>
        <w:rPr>
          <w:b/>
        </w:rPr>
        <w:t>E. 3</w:t>
      </w:r>
    </w:p>
    <w:p>
      <w:r>
        <w:t>Gegenstand</w:t>
      </w:r>
    </w:p>
    <w:p>
      <w:r>
        <w:t>BV.2019.15</w:t>
      </w:r>
    </w:p>
    <w:p>
      <w:r>
        <w:t>Leistungszuständigkeit</w:t>
      </w:r>
    </w:p>
    <w:p>
      <w:r>
        <w:t>Art. 23 BVG, zeitlicher Konnex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