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BV.2019.13 vom 17. August 2020</w:t>
      </w:r>
    </w:p>
    <w:p>
      <w:r>
        <w:t>Bs Sozialversicherungsgericht, 2020-08-17, DE</w:t>
      </w:r>
    </w:p>
    <w:p>
      <w:r>
        <w:rPr>
          <w:b/>
        </w:rPr>
        <w:t xml:space="preserve">Quelle: </w:t>
      </w:r>
      <w:r>
        <w:t>https://mcp.opencaselaw.ch/entscheid/bs_sozialversicherungsgericht_BV.2019.13</w:t>
      </w:r>
    </w:p>
    <w:p>
      <w:r>
        <w:t>FR: BS_SOZIALVERSICHERUNGSGERICHT BV.2019.13 du 17 août 2020</w:t>
      </w:r>
    </w:p>
    <w:p>
      <w:r>
        <w:t>IT: BS_SOZIALVERSICHERUNGSGERICHT BV.2019.13 del 17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August 2020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Beklagte 1</w:t>
      </w:r>
    </w:p>
    <w:p>
      <w:r>
        <w:t>D____</w:t>
      </w:r>
    </w:p>
    <w:p>
      <w:r>
        <w:t>[...]</w:t>
      </w:r>
    </w:p>
    <w:p>
      <w:r>
        <w:t>Beklagte 2</w:t>
      </w:r>
    </w:p>
    <w:p>
      <w:r>
        <w:t>E____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BV.2019.13</w:t>
      </w:r>
    </w:p>
    <w:p>
      <w:r>
        <w:t>Leistungszuständigkeit</w:t>
      </w:r>
    </w:p>
    <w:p>
      <w:r>
        <w:t>Zeitlicher Konnex nach Art. 23 BVG bei Persönlichkeitsstörung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