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BV.2018.2 vom 29. Januar 2019</w:t>
      </w:r>
    </w:p>
    <w:p>
      <w:r>
        <w:t>Bs Sozialversicherungsgericht, 2019-01-29, DE</w:t>
      </w:r>
    </w:p>
    <w:p>
      <w:r>
        <w:rPr>
          <w:b/>
        </w:rPr>
        <w:t xml:space="preserve">Quelle: </w:t>
      </w:r>
      <w:r>
        <w:t>https://mcp.opencaselaw.ch/entscheid/bs_sozialversicherungsgericht_BV.2018.2</w:t>
      </w:r>
    </w:p>
    <w:p>
      <w:r>
        <w:t>FR: BS_SOZIALVERSICHERUNGSGERICHT BV.2018.2 du 29 janvier 2019</w:t>
      </w:r>
    </w:p>
    <w:p>
      <w:r>
        <w:t>IT: BS_SOZIALVERSICHERUNGSGERICHT BV.2018.2 del 29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2019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BV.2018.2</w:t>
      </w:r>
    </w:p>
    <w:p>
      <w:r>
        <w:t>Klage vom 23. Januar 2018</w:t>
      </w:r>
    </w:p>
    <w:p>
      <w:r>
        <w:t>Kein Anspruch auf Anrechnung einer Lohnnachzahlung für nicht bezogene Ferien an den massgebenden BVG-Lohn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