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BV.2016.21 vom 23. Oktober 2017</w:t>
      </w:r>
    </w:p>
    <w:p>
      <w:r>
        <w:t>Bs Sozialversicherungsgericht, 2017-10-23, DE</w:t>
      </w:r>
    </w:p>
    <w:p>
      <w:r>
        <w:rPr>
          <w:b/>
        </w:rPr>
        <w:t xml:space="preserve">Quelle: </w:t>
      </w:r>
      <w:r>
        <w:t>https://mcp.opencaselaw.ch/entscheid/bs_sozialversicherungsgericht_BV.2016.21</w:t>
      </w:r>
    </w:p>
    <w:p>
      <w:r>
        <w:t>FR: BS_SOZIALVERSICHERUNGSGERICHT BV.2016.21 du 23 octobre 2017</w:t>
      </w:r>
    </w:p>
    <w:p>
      <w:r>
        <w:t>IT: BS_SOZIALVERSICHERUNGSGERICHT BV.2016.21 del 23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2017</w:t>
      </w:r>
    </w:p>
    <w:p>
      <w:r>
        <w:t>Mitwirkende</w:t>
      </w:r>
    </w:p>
    <w:p>
      <w:r>
        <w:t>Dr. A. Pfleiderer (Vorsitz), lic. iur. M. Spöndlin, lic. iur. S. Khan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PensionskasseC____</w:t>
      </w:r>
    </w:p>
    <w:p>
      <w:r>
        <w:t>Beklagte</w:t>
      </w:r>
    </w:p>
    <w:p>
      <w:r>
        <w:t>Gegenstand</w:t>
      </w:r>
    </w:p>
    <w:p>
      <w:r>
        <w:t>BV.2016.21</w:t>
      </w:r>
    </w:p>
    <w:p>
      <w:r>
        <w:t>Klage vom 31. Oktober 2016</w:t>
      </w:r>
    </w:p>
    <w:p>
      <w:r>
        <w:t>Arbeitsunfähigkeitsrente in der weitergehenden beruflichen Vorsorge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