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BV.2016.16 vom 6. November 2018</w:t>
      </w:r>
    </w:p>
    <w:p>
      <w:r>
        <w:t>Bs Sozialversicherungsgericht, 2018-11-06, DE</w:t>
      </w:r>
    </w:p>
    <w:p>
      <w:r>
        <w:rPr>
          <w:b/>
        </w:rPr>
        <w:t xml:space="preserve">Quelle: </w:t>
      </w:r>
      <w:r>
        <w:t>https://mcp.opencaselaw.ch/entscheid/bs_sozialversicherungsgericht_BV.2016.16</w:t>
      </w:r>
    </w:p>
    <w:p>
      <w:r>
        <w:t>FR: BS_SOZIALVERSICHERUNGSGERICHT BV.2016.16 du 6 novembre 2018</w:t>
      </w:r>
    </w:p>
    <w:p>
      <w:r>
        <w:t>IT: BS_SOZIALVERSICHERUNGSGERICHT BV.2016.16 del 6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November 2018</w:t>
      </w:r>
    </w:p>
    <w:p>
      <w:r>
        <w:t>Mitwirkende</w:t>
      </w:r>
    </w:p>
    <w:p>
      <w:r>
        <w:t>lic. iur. K. Zehnder (Vorsitz),lic. iur. A. Lesmann-Schaub, MLaw M. Kreis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Klägerin</w:t>
      </w:r>
    </w:p>
    <w:p>
      <w:r>
        <w:t>C____</w:t>
      </w:r>
    </w:p>
    <w:p>
      <w:r>
        <w:t>Beklagte</w:t>
      </w:r>
    </w:p>
    <w:p>
      <w:r>
        <w:t>Gegenstand</w:t>
      </w:r>
    </w:p>
    <w:p>
      <w:r>
        <w:t>BV.2016.16</w:t>
      </w:r>
    </w:p>
    <w:p>
      <w:r>
        <w:t>Klage vom 18. Juli 2016 und Urteil des Bundesgerichts vom 27. Dezember 2017</w:t>
      </w:r>
    </w:p>
    <w:p>
      <w:r>
        <w:t>Hinterlassenenleistungen für Lebenspartnerin, Begünstigtenerklärung als konstitutives Element zulässig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