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BV.2016.15 vom 18. Dezember 2017</w:t>
      </w:r>
    </w:p>
    <w:p>
      <w:r>
        <w:t>Bs Sozialversicherungsgericht, 2017-12-18, DE</w:t>
      </w:r>
    </w:p>
    <w:p>
      <w:r>
        <w:rPr>
          <w:b/>
        </w:rPr>
        <w:t xml:space="preserve">Quelle: </w:t>
      </w:r>
      <w:r>
        <w:t>https://mcp.opencaselaw.ch/entscheid/bs_sozialversicherungsgericht_BV.2016.15</w:t>
      </w:r>
    </w:p>
    <w:p>
      <w:r>
        <w:t>FR: BS_SOZIALVERSICHERUNGSGERICHT BV.2016.15 du 18 décembre 2017</w:t>
      </w:r>
    </w:p>
    <w:p>
      <w:r>
        <w:t>IT: BS_SOZIALVERSICHERUNGSGERICHT BV.2016.15 del 18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Dezember 2017</w:t>
      </w:r>
    </w:p>
    <w:p>
      <w:r>
        <w:t>Mitwirkende</w:t>
      </w:r>
    </w:p>
    <w:p>
      <w:r>
        <w:t>Dr. A. Pfleiderer (Vorsitz), lic. iur. M. Spöndlin, P. Kaderli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Kläger</w:t>
      </w:r>
    </w:p>
    <w:p>
      <w:r>
        <w:t>B____</w:t>
      </w:r>
    </w:p>
    <w:p>
      <w:r>
        <w:t>Beklagte 1</w:t>
      </w:r>
    </w:p>
    <w:p>
      <w:r>
        <w:t>C____</w:t>
      </w:r>
    </w:p>
    <w:p>
      <w:r>
        <w:t>Beklagte 2</w:t>
      </w:r>
    </w:p>
    <w:p>
      <w:r>
        <w:t>Gegenstand</w:t>
      </w:r>
    </w:p>
    <w:p>
      <w:r>
        <w:t>BV.2016.15</w:t>
      </w:r>
    </w:p>
    <w:p>
      <w:r>
        <w:t>Klage vom 5. Juli 2016</w:t>
      </w:r>
    </w:p>
    <w:p>
      <w:r>
        <w:t>Eintritt der für die Entstehung des BVG-Invalidenrentenanspruchs relevanten Arbeitsunfähigkeit von 20% während der Versicherungsdeckung bei der Beklagte 1 als auch der Beklagten 2 mangels echtzeitlicher Arbeitsunfähigkeitsbescheinigungen verneint.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