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AL.2025.16 vom 24. März 2026</w:t>
      </w:r>
    </w:p>
    <w:p>
      <w:r>
        <w:t>Bs Sozialversicherungsgericht, 2026-03-24, DE</w:t>
      </w:r>
    </w:p>
    <w:p>
      <w:r>
        <w:rPr>
          <w:b/>
        </w:rPr>
        <w:t xml:space="preserve">Quelle: </w:t>
      </w:r>
      <w:r>
        <w:t>https://mcp.opencaselaw.ch/entscheid/bs_sozialversicherungsgericht_AL.2025.16</w:t>
      </w:r>
    </w:p>
    <w:p>
      <w:r>
        <w:t>FR: BS_SOZIALVERSICHERUNGSGERICHT AL.2025.16 du 24 mars 2026</w:t>
      </w:r>
    </w:p>
    <w:p>
      <w:r>
        <w:t>IT: BS_SOZIALVERSICHERUNGSGERICHT AL.2025.16 del 24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März 2026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a. o. Gerichtsschreiber MLaw T. Öztürk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AL.2025.16</w:t>
      </w:r>
    </w:p>
    <w:p>
      <w:r>
        <w:t>Einspracheentscheid vom 11. August 2025</w:t>
      </w:r>
    </w:p>
    <w:p>
      <w:r>
        <w:t>Einstellung in der Anspruchsberechtigung</w:t>
      </w:r>
    </w:p>
    <w:p>
      <w:r>
        <w:t>Die Präsidentin                                                            a. o. Gerichtsschreiber</w:t>
      </w:r>
    </w:p>
    <w:p>
      <w:r>
        <w:t>Dr. A. PfleidererMLaw T. Öztürk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