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AL.2024.29 vom 16. Dezember 2024</w:t>
      </w:r>
    </w:p>
    <w:p>
      <w:r>
        <w:t>Bs Sozialversicherungsgericht, 2024-12-16, DE</w:t>
      </w:r>
    </w:p>
    <w:p>
      <w:r>
        <w:rPr>
          <w:b/>
        </w:rPr>
        <w:t xml:space="preserve">Quelle: </w:t>
      </w:r>
      <w:r>
        <w:t>https://mcp.opencaselaw.ch/entscheid/bs_sozialversicherungsgericht_AL.2024.29</w:t>
      </w:r>
    </w:p>
    <w:p>
      <w:r>
        <w:t>FR: BS_SOZIALVERSICHERUNGSGERICHT AL.2024.29 du 16 décembre 2024</w:t>
      </w:r>
    </w:p>
    <w:p>
      <w:r>
        <w:t>IT: BS_SOZIALVERSICHERUNGSGERICHT AL.2024.29 del 16 dicembre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vom25. März 2025</w:t>
      </w:r>
    </w:p>
    <w:p>
      <w:r>
        <w:t>Mitwirkende</w:t>
      </w:r>
    </w:p>
    <w:p>
      <w:r>
        <w:t>Dr. G. Thomi (Vorsitz), C. Müller, Dr. T. Fasnacht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Kantonale Amtsstelle für ALV</w:t>
      </w:r>
    </w:p>
    <w:p>
      <w:r>
        <w:t>Sandgrubenstrasse 44, Postfach, 4002 Basel</w:t>
      </w:r>
    </w:p>
    <w:p>
      <w:r>
        <w:t>vertreten durch Amt für Wirtschaft und Arbeit, Kantonale Amtsstelle für ALV, Utengasse 36, Postfach, 4005 Basel</w:t>
      </w:r>
    </w:p>
    <w:p>
      <w:r>
        <w:t>Beschwerdegegnerin</w:t>
      </w:r>
    </w:p>
    <w:p>
      <w:r>
        <w:t>Gegenstand</w:t>
      </w:r>
    </w:p>
    <w:p>
      <w:r>
        <w:t>AL.2024.29</w:t>
      </w:r>
    </w:p>
    <w:p>
      <w:r>
        <w:t>Einspracheentscheid vom 16. Dezember 2024</w:t>
      </w:r>
    </w:p>
    <w:p>
      <w:r>
        <w:t>Vermittlungsfähigkeit</w:t>
      </w:r>
    </w:p>
    <w:p>
      <w:r>
        <w:t>Am 25. März 2024 findet die Urteilsberatung der Kammer des Sozialversicherungsgerichts statt.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