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AL.2024.24 vom 8. Oktober 2024</w:t>
      </w:r>
    </w:p>
    <w:p>
      <w:r>
        <w:t>Bs Sozialversicherungsgericht, 2024-10-08, DE</w:t>
      </w:r>
    </w:p>
    <w:p>
      <w:r>
        <w:rPr>
          <w:b/>
        </w:rPr>
        <w:t xml:space="preserve">Quelle: </w:t>
      </w:r>
      <w:r>
        <w:t>https://mcp.opencaselaw.ch/entscheid/bs_sozialversicherungsgericht_AL.2024.24</w:t>
      </w:r>
    </w:p>
    <w:p>
      <w:r>
        <w:t>FR: BS_SOZIALVERSICHERUNGSGERICHT AL.2024.24 du 8 octobre 2024</w:t>
      </w:r>
    </w:p>
    <w:p>
      <w:r>
        <w:t>IT: BS_SOZIALVERSICHERUNGSGERICHT AL.2024.24 del 8 ottobre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2025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Peter Fuchs, Rechtsanwalt,</w:t>
      </w:r>
    </w:p>
    <w:p>
      <w:r>
        <w:t>Studer Zahner Anwälte AG, Hauptstrasse 11a,</w:t>
      </w:r>
    </w:p>
    <w:p>
      <w:r>
        <w:t>Postfach 2125, 8280 Kreuzlingen</w:t>
      </w:r>
    </w:p>
    <w:p>
      <w:r>
        <w:t>Beschwerdeführer</w:t>
      </w:r>
    </w:p>
    <w:p>
      <w:r>
        <w:t>Kantonale Amtsstelle für Arbeitslosenversicherung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Kantonale Amtsstelle für ALV,</w:t>
      </w:r>
    </w:p>
    <w:p>
      <w:r>
        <w:t>Utengasse 36, Postfach, 4005 Basel</w:t>
      </w:r>
    </w:p>
    <w:p>
      <w:r>
        <w:t>Beschwerdegegnerin</w:t>
      </w:r>
    </w:p>
    <w:p>
      <w:r>
        <w:t>Gegenstand</w:t>
      </w:r>
    </w:p>
    <w:p>
      <w:r>
        <w:t>AL.2024.24</w:t>
      </w:r>
    </w:p>
    <w:p>
      <w:r>
        <w:t>Einspracheentscheid vom 8. Oktober 2024</w:t>
      </w:r>
    </w:p>
    <w:p>
      <w:r>
        <w:t>Ermittlung der Anspruchsvoraussetzungen (insb. Feststellung des «gewöhnlichen Aufenthaltes»)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